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7E" w:rsidRDefault="0003307E" w:rsidP="00984668">
      <w:pPr>
        <w:pStyle w:val="SOFinalHead4"/>
        <w:rPr>
          <w:sz w:val="48"/>
        </w:rPr>
      </w:pPr>
      <w:r w:rsidRPr="00984668">
        <w:rPr>
          <w:sz w:val="48"/>
        </w:rPr>
        <w:t>The Seven Capabilities</w:t>
      </w:r>
    </w:p>
    <w:p w:rsidR="0071752C" w:rsidRPr="00984668" w:rsidRDefault="0071752C" w:rsidP="00984668">
      <w:pPr>
        <w:pStyle w:val="SOFinalHead4"/>
        <w:rPr>
          <w:sz w:val="48"/>
        </w:rPr>
      </w:pPr>
    </w:p>
    <w:p w:rsidR="0003307E" w:rsidRPr="0071752C" w:rsidRDefault="0003307E" w:rsidP="0003307E">
      <w:pPr>
        <w:pStyle w:val="SOFinalBodyText"/>
        <w:rPr>
          <w:sz w:val="22"/>
        </w:rPr>
      </w:pPr>
      <w:r w:rsidRPr="0071752C">
        <w:rPr>
          <w:sz w:val="22"/>
        </w:rPr>
        <w:t>The purpose of the capabilities is to develop in students the knowledge, skills, and understanding to be successful learners, confident and creative individuals, and active and informed citizens.</w:t>
      </w:r>
    </w:p>
    <w:p w:rsidR="00984668" w:rsidRPr="0071752C" w:rsidRDefault="00984668" w:rsidP="0003307E">
      <w:pPr>
        <w:pStyle w:val="SOFinalBodyText"/>
        <w:rPr>
          <w:sz w:val="22"/>
        </w:rPr>
      </w:pPr>
    </w:p>
    <w:p w:rsidR="00984668" w:rsidRPr="0071752C" w:rsidRDefault="00984668" w:rsidP="0003307E">
      <w:pPr>
        <w:pStyle w:val="SOFinalBodyText"/>
        <w:rPr>
          <w:sz w:val="22"/>
        </w:rPr>
      </w:pPr>
    </w:p>
    <w:p w:rsidR="0003307E" w:rsidRPr="0071752C" w:rsidRDefault="0003307E" w:rsidP="0003307E">
      <w:pPr>
        <w:pStyle w:val="SOFinalBodyText"/>
        <w:rPr>
          <w:sz w:val="22"/>
        </w:rPr>
      </w:pPr>
      <w:r w:rsidRPr="0071752C">
        <w:rPr>
          <w:sz w:val="22"/>
        </w:rPr>
        <w:t>The capabilities that have been identified are:</w:t>
      </w:r>
    </w:p>
    <w:p w:rsidR="0003307E" w:rsidRPr="0071752C" w:rsidRDefault="0003307E" w:rsidP="006D4D14">
      <w:pPr>
        <w:pStyle w:val="SOFinalBullets"/>
        <w:numPr>
          <w:ilvl w:val="0"/>
          <w:numId w:val="7"/>
        </w:numPr>
      </w:pPr>
      <w:r w:rsidRPr="0071752C">
        <w:t>literacy</w:t>
      </w:r>
    </w:p>
    <w:p w:rsidR="0003307E" w:rsidRPr="0071752C" w:rsidRDefault="0003307E" w:rsidP="006D4D14">
      <w:pPr>
        <w:pStyle w:val="SOFinalBullets"/>
        <w:numPr>
          <w:ilvl w:val="0"/>
          <w:numId w:val="7"/>
        </w:numPr>
      </w:pPr>
      <w:r w:rsidRPr="0071752C">
        <w:t>numeracy</w:t>
      </w:r>
    </w:p>
    <w:p w:rsidR="0003307E" w:rsidRPr="0071752C" w:rsidRDefault="0003307E" w:rsidP="006D4D14">
      <w:pPr>
        <w:pStyle w:val="SOFinalBullets"/>
        <w:numPr>
          <w:ilvl w:val="0"/>
          <w:numId w:val="7"/>
        </w:numPr>
      </w:pPr>
      <w:r w:rsidRPr="0071752C">
        <w:t>information and communication technology capability</w:t>
      </w:r>
    </w:p>
    <w:p w:rsidR="0003307E" w:rsidRPr="0071752C" w:rsidRDefault="0003307E" w:rsidP="006D4D14">
      <w:pPr>
        <w:pStyle w:val="SOFinalBullets"/>
        <w:numPr>
          <w:ilvl w:val="0"/>
          <w:numId w:val="7"/>
        </w:numPr>
      </w:pPr>
      <w:r w:rsidRPr="0071752C">
        <w:t>critical and creative thinking</w:t>
      </w:r>
    </w:p>
    <w:p w:rsidR="0003307E" w:rsidRPr="0071752C" w:rsidRDefault="0003307E" w:rsidP="006D4D14">
      <w:pPr>
        <w:pStyle w:val="SOFinalBullets"/>
        <w:numPr>
          <w:ilvl w:val="0"/>
          <w:numId w:val="7"/>
        </w:numPr>
      </w:pPr>
      <w:r w:rsidRPr="0071752C">
        <w:t>personal and social capability</w:t>
      </w:r>
    </w:p>
    <w:p w:rsidR="0003307E" w:rsidRPr="0071752C" w:rsidRDefault="0003307E" w:rsidP="006D4D14">
      <w:pPr>
        <w:pStyle w:val="SOFinalBullets"/>
        <w:numPr>
          <w:ilvl w:val="0"/>
          <w:numId w:val="7"/>
        </w:numPr>
      </w:pPr>
      <w:r w:rsidRPr="0071752C">
        <w:t>ethical understanding</w:t>
      </w:r>
    </w:p>
    <w:p w:rsidR="0003307E" w:rsidRPr="0071752C" w:rsidRDefault="0003307E" w:rsidP="006D4D14">
      <w:pPr>
        <w:pStyle w:val="SOFinalBullets"/>
        <w:numPr>
          <w:ilvl w:val="0"/>
          <w:numId w:val="7"/>
        </w:numPr>
      </w:pPr>
      <w:r w:rsidRPr="0071752C">
        <w:t>intercultural understanding.</w:t>
      </w:r>
    </w:p>
    <w:p w:rsidR="00984668" w:rsidRPr="0071752C" w:rsidRDefault="00984668" w:rsidP="006D4D14">
      <w:pPr>
        <w:pStyle w:val="SOFinalBullets"/>
      </w:pPr>
    </w:p>
    <w:p w:rsidR="00984668" w:rsidRPr="0071752C" w:rsidRDefault="00984668" w:rsidP="006D4D14">
      <w:pPr>
        <w:pStyle w:val="SOFinalBullets"/>
      </w:pPr>
    </w:p>
    <w:p w:rsidR="0003307E" w:rsidRPr="0071752C" w:rsidRDefault="0003307E" w:rsidP="0003307E">
      <w:pPr>
        <w:pStyle w:val="SOFinalBodyText"/>
        <w:rPr>
          <w:sz w:val="22"/>
        </w:rPr>
      </w:pPr>
      <w:r w:rsidRPr="0071752C">
        <w:rPr>
          <w:sz w:val="22"/>
        </w:rPr>
        <w:t>The capabilities enable students to make connections in their learning within and across subjects in a wide range of contexts.</w:t>
      </w:r>
    </w:p>
    <w:p w:rsidR="0003307E" w:rsidRPr="0071752C" w:rsidRDefault="0003307E" w:rsidP="0003307E">
      <w:pPr>
        <w:pStyle w:val="SOFinalBodyText"/>
        <w:rPr>
          <w:sz w:val="22"/>
        </w:rPr>
      </w:pPr>
      <w:r w:rsidRPr="0071752C">
        <w:rPr>
          <w:sz w:val="22"/>
        </w:rPr>
        <w:t>Students develop their knowledge and understanding of the seven capabilities through their learning in the pre-SACE years, and extend this learning through the Personal Learning Plan.</w:t>
      </w:r>
    </w:p>
    <w:p w:rsidR="0003307E" w:rsidRPr="0071752C" w:rsidRDefault="0003307E" w:rsidP="0003307E">
      <w:pPr>
        <w:pStyle w:val="SOFinalBodyText"/>
        <w:rPr>
          <w:sz w:val="22"/>
        </w:rPr>
      </w:pPr>
      <w:r w:rsidRPr="0071752C">
        <w:rPr>
          <w:sz w:val="22"/>
        </w:rPr>
        <w:t>Students select and develop one or more capabilities relevant to achieving their personal and learning goals.</w:t>
      </w:r>
    </w:p>
    <w:p w:rsidR="0003307E" w:rsidRPr="0071752C" w:rsidRDefault="0003307E" w:rsidP="0003307E">
      <w:pPr>
        <w:pStyle w:val="SOFinalBodyText"/>
        <w:rPr>
          <w:sz w:val="22"/>
        </w:rPr>
      </w:pPr>
      <w:r w:rsidRPr="0071752C">
        <w:rPr>
          <w:sz w:val="22"/>
        </w:rPr>
        <w:t>Students review how they developed their selected capability or capabilities, and how this helped to achieve their personal and learning goals.</w:t>
      </w:r>
    </w:p>
    <w:p w:rsidR="00DB5AC1" w:rsidRPr="0071752C" w:rsidRDefault="00DB5AC1" w:rsidP="0003307E">
      <w:pPr>
        <w:pStyle w:val="SOFinalBodyText"/>
        <w:rPr>
          <w:sz w:val="22"/>
        </w:rPr>
      </w:pPr>
    </w:p>
    <w:p w:rsidR="00984668" w:rsidRDefault="00984668">
      <w:pPr>
        <w:spacing w:after="200" w:line="276" w:lineRule="auto"/>
        <w:rPr>
          <w:rFonts w:eastAsia="Times New Roman" w:cs="Arial"/>
          <w:b/>
          <w:sz w:val="28"/>
          <w:szCs w:val="28"/>
          <w:lang w:eastAsia="en-US"/>
        </w:rPr>
      </w:pPr>
      <w:r>
        <w:rPr>
          <w:rFonts w:eastAsia="Times New Roman" w:cs="Arial"/>
          <w:b/>
          <w:sz w:val="28"/>
          <w:szCs w:val="28"/>
          <w:lang w:eastAsia="en-US"/>
        </w:rPr>
        <w:br w:type="page"/>
      </w:r>
    </w:p>
    <w:p w:rsidR="0003307E" w:rsidRPr="00984668" w:rsidRDefault="0003307E" w:rsidP="0003307E">
      <w:pPr>
        <w:pStyle w:val="SOFinalHead4"/>
        <w:rPr>
          <w:sz w:val="32"/>
        </w:rPr>
      </w:pPr>
      <w:r w:rsidRPr="00984668">
        <w:rPr>
          <w:sz w:val="32"/>
        </w:rPr>
        <w:lastRenderedPageBreak/>
        <w:t>Literacy</w:t>
      </w:r>
    </w:p>
    <w:p w:rsidR="0003307E" w:rsidRPr="003F6F47" w:rsidRDefault="0003307E" w:rsidP="0003307E">
      <w:pPr>
        <w:pStyle w:val="SOFinalBodyText"/>
      </w:pPr>
      <w:r w:rsidRPr="003F6F47">
        <w:t>In the Personal Learning Plan, students develop their capability for literacy by, for example:</w:t>
      </w:r>
    </w:p>
    <w:p w:rsidR="0003307E" w:rsidRDefault="0003307E" w:rsidP="006D4D14">
      <w:pPr>
        <w:pStyle w:val="SOFinalBullets"/>
      </w:pPr>
      <w:r w:rsidRPr="003F6F47">
        <w:t>learning about and understanding this capability</w:t>
      </w:r>
    </w:p>
    <w:p w:rsidR="00747B66" w:rsidRPr="003F6F47" w:rsidRDefault="00747B66" w:rsidP="006D4D14">
      <w:pPr>
        <w:pStyle w:val="SOFinalBullets"/>
      </w:pPr>
    </w:p>
    <w:p w:rsidR="0003307E" w:rsidRPr="003F6F47" w:rsidRDefault="0003307E" w:rsidP="006D4D14">
      <w:pPr>
        <w:pStyle w:val="SOFinalBullets"/>
        <w:numPr>
          <w:ilvl w:val="0"/>
          <w:numId w:val="8"/>
        </w:numPr>
      </w:pPr>
      <w:r w:rsidRPr="003F6F47">
        <w:t>exploring how this capability is relevant to their personal and learning goals</w:t>
      </w:r>
    </w:p>
    <w:p w:rsidR="0003307E" w:rsidRPr="003F6F47" w:rsidRDefault="0003307E" w:rsidP="006D4D14">
      <w:pPr>
        <w:pStyle w:val="SOFinalBullets"/>
        <w:numPr>
          <w:ilvl w:val="0"/>
          <w:numId w:val="8"/>
        </w:numPr>
      </w:pPr>
      <w:r w:rsidRPr="003F6F47">
        <w:t>identifying and developing literacy and communication skills, appropriate to personal and learning goals, further study, pathways, work, and specific workplaces</w:t>
      </w:r>
    </w:p>
    <w:p w:rsidR="0003307E" w:rsidRPr="003F6F47" w:rsidRDefault="0003307E" w:rsidP="006D4D14">
      <w:pPr>
        <w:pStyle w:val="SOFinalBullets"/>
        <w:numPr>
          <w:ilvl w:val="0"/>
          <w:numId w:val="8"/>
        </w:numPr>
      </w:pPr>
      <w:r w:rsidRPr="003F6F47">
        <w:t>choosing and using appropriate language and ways to communicate with a range of people, in different situations and contexts</w:t>
      </w:r>
    </w:p>
    <w:p w:rsidR="0003307E" w:rsidRPr="003F6F47" w:rsidRDefault="0003307E" w:rsidP="006D4D14">
      <w:pPr>
        <w:pStyle w:val="SOFinalBullets"/>
        <w:numPr>
          <w:ilvl w:val="0"/>
          <w:numId w:val="8"/>
        </w:numPr>
      </w:pPr>
      <w:r w:rsidRPr="003F6F47">
        <w:t>interpreting information from a variety of texts (oral, written</w:t>
      </w:r>
      <w:r>
        <w:t>,</w:t>
      </w:r>
      <w:r w:rsidRPr="003F6F47">
        <w:t xml:space="preserve"> and multimodal) to support decisions about personal and learning goals and pathways</w:t>
      </w:r>
    </w:p>
    <w:p w:rsidR="0003307E" w:rsidRDefault="0003307E" w:rsidP="006D4D14">
      <w:pPr>
        <w:pStyle w:val="SOFinalBullets"/>
        <w:numPr>
          <w:ilvl w:val="0"/>
          <w:numId w:val="8"/>
        </w:numPr>
      </w:pPr>
      <w:r w:rsidRPr="003F6F47">
        <w:t xml:space="preserve">explaining, discussing, and reviewing their personal and learning goals, </w:t>
      </w:r>
      <w:r>
        <w:t xml:space="preserve">as well as </w:t>
      </w:r>
      <w:r w:rsidRPr="003F6F47">
        <w:t>decisions about the future, using appropriate communication.</w:t>
      </w:r>
    </w:p>
    <w:p w:rsidR="00086480" w:rsidRDefault="00086480" w:rsidP="006D4D14">
      <w:pPr>
        <w:pStyle w:val="SOFinalBullet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5401"/>
      </w:tblGrid>
      <w:tr w:rsidR="005C421B" w:rsidRPr="005C421B" w:rsidTr="00345E3A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5C421B" w:rsidRPr="005C421B" w:rsidRDefault="005C421B" w:rsidP="005C421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Relevant exa</w:t>
            </w:r>
            <w:r w:rsidR="00932D48">
              <w:rPr>
                <w:rFonts w:eastAsia="Times New Roman" w:cs="Arial"/>
                <w:b/>
                <w:sz w:val="22"/>
                <w:szCs w:val="22"/>
                <w:lang w:eastAsia="en-US"/>
              </w:rPr>
              <w:t>mples of aspects of the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capability selected from or added to the list above </w:t>
            </w:r>
            <w:r w:rsidRPr="005C421B">
              <w:rPr>
                <w:rFonts w:eastAsia="Times New Roman" w:cs="Arial"/>
                <w:sz w:val="22"/>
                <w:szCs w:val="22"/>
                <w:lang w:eastAsia="en-US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5C421B" w:rsidRPr="005C421B" w:rsidRDefault="005C421B" w:rsidP="00345E3A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How might this capability be relevant to my </w:t>
            </w:r>
            <w:r w:rsidR="0023030C">
              <w:rPr>
                <w:rFonts w:eastAsia="Times New Roman" w:cs="Arial"/>
                <w:b/>
                <w:sz w:val="22"/>
                <w:szCs w:val="22"/>
                <w:lang w:eastAsia="en-US"/>
              </w:rPr>
              <w:t>PLP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?</w:t>
            </w:r>
          </w:p>
          <w:p w:rsidR="005C421B" w:rsidRPr="005C421B" w:rsidRDefault="005C421B" w:rsidP="00345E3A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5C421B" w:rsidRPr="005C421B" w:rsidTr="00DA1222">
        <w:trPr>
          <w:trHeight w:val="2034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12"/>
                <w:szCs w:val="12"/>
                <w:lang w:eastAsia="en-US"/>
              </w:rPr>
            </w:pPr>
          </w:p>
        </w:tc>
      </w:tr>
      <w:tr w:rsidR="005C421B" w:rsidRPr="005C421B" w:rsidTr="00DA1222">
        <w:trPr>
          <w:trHeight w:val="212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</w:tbl>
    <w:p w:rsidR="005C421B" w:rsidRPr="003F6F47" w:rsidRDefault="005C421B" w:rsidP="006D4D14">
      <w:pPr>
        <w:pStyle w:val="SOFinalBullets"/>
      </w:pPr>
    </w:p>
    <w:p w:rsidR="0003307E" w:rsidRDefault="0003307E">
      <w:pPr>
        <w:spacing w:after="200" w:line="276" w:lineRule="auto"/>
        <w:rPr>
          <w:rFonts w:ascii="Arial Narrow" w:eastAsia="Times New Roman" w:hAnsi="Arial Narrow"/>
          <w:b/>
          <w:color w:val="000000"/>
          <w:sz w:val="24"/>
          <w:lang w:val="en-US" w:eastAsia="en-US"/>
        </w:rPr>
      </w:pPr>
      <w:r>
        <w:br w:type="page"/>
      </w:r>
    </w:p>
    <w:p w:rsidR="0003307E" w:rsidRPr="00984668" w:rsidRDefault="0003307E" w:rsidP="0003307E">
      <w:pPr>
        <w:pStyle w:val="SOFinalHead4"/>
        <w:rPr>
          <w:sz w:val="32"/>
        </w:rPr>
      </w:pPr>
      <w:r w:rsidRPr="00984668">
        <w:rPr>
          <w:sz w:val="32"/>
        </w:rPr>
        <w:lastRenderedPageBreak/>
        <w:t>Numeracy</w:t>
      </w:r>
    </w:p>
    <w:p w:rsidR="0003307E" w:rsidRPr="003F6F47" w:rsidRDefault="0003307E" w:rsidP="0003307E">
      <w:pPr>
        <w:pStyle w:val="SOFinalBodyText"/>
      </w:pPr>
      <w:r w:rsidRPr="003F6F47">
        <w:t>In the Personal Learning Plan, students can develop their capability for numeracy by, for example:</w:t>
      </w:r>
    </w:p>
    <w:p w:rsidR="0003307E" w:rsidRDefault="0003307E" w:rsidP="006D4D14">
      <w:pPr>
        <w:pStyle w:val="SOFinalBullets"/>
      </w:pPr>
      <w:r w:rsidRPr="003F6F47">
        <w:t>learning about and understanding this capability</w:t>
      </w:r>
    </w:p>
    <w:p w:rsidR="00747B66" w:rsidRPr="003F6F47" w:rsidRDefault="00747B66" w:rsidP="006D4D14">
      <w:pPr>
        <w:pStyle w:val="SOFinalBullets"/>
      </w:pPr>
    </w:p>
    <w:p w:rsidR="0003307E" w:rsidRPr="003F6F47" w:rsidRDefault="0003307E" w:rsidP="006D4D14">
      <w:pPr>
        <w:pStyle w:val="SOFinalBullets"/>
        <w:numPr>
          <w:ilvl w:val="0"/>
          <w:numId w:val="9"/>
        </w:numPr>
      </w:pPr>
      <w:r w:rsidRPr="003F6F47">
        <w:t>exploring how this capability is relevant to their personal and learning goals</w:t>
      </w:r>
    </w:p>
    <w:p w:rsidR="0003307E" w:rsidRPr="003F6F47" w:rsidRDefault="0003307E" w:rsidP="006D4D14">
      <w:pPr>
        <w:pStyle w:val="SOFinalBullets"/>
        <w:numPr>
          <w:ilvl w:val="0"/>
          <w:numId w:val="9"/>
        </w:numPr>
      </w:pPr>
      <w:r w:rsidRPr="003F6F47">
        <w:t>identifying and developing numeracy skills appropriate to personal and learning goals, further study pathways, work, and specific workplaces</w:t>
      </w:r>
    </w:p>
    <w:p w:rsidR="0003307E" w:rsidRPr="003F6F47" w:rsidRDefault="0003307E" w:rsidP="006D4D14">
      <w:pPr>
        <w:pStyle w:val="SOFinalBullets"/>
        <w:numPr>
          <w:ilvl w:val="0"/>
          <w:numId w:val="9"/>
        </w:numPr>
      </w:pPr>
      <w:r w:rsidRPr="003F6F47">
        <w:t>interpreting information in diagrams, maps, graphs, and tables</w:t>
      </w:r>
    </w:p>
    <w:p w:rsidR="0003307E" w:rsidRPr="003F6F47" w:rsidRDefault="0003307E" w:rsidP="006D4D14">
      <w:pPr>
        <w:pStyle w:val="SOFinalBullets"/>
        <w:numPr>
          <w:ilvl w:val="0"/>
          <w:numId w:val="9"/>
        </w:numPr>
      </w:pPr>
      <w:r w:rsidRPr="003F6F47">
        <w:t>drawing conclusions to make future decisions based on current trends, in such areas as workforce projections, rates of pay, and workforce demographics</w:t>
      </w:r>
    </w:p>
    <w:p w:rsidR="0003307E" w:rsidRDefault="0003307E" w:rsidP="006D4D14">
      <w:pPr>
        <w:pStyle w:val="SOFinalBullets"/>
        <w:numPr>
          <w:ilvl w:val="0"/>
          <w:numId w:val="9"/>
        </w:numPr>
      </w:pPr>
      <w:r w:rsidRPr="003F6F47">
        <w:t>explaining, discussing, and reviewing their personal and learning goals, and decisions about the future, using numerical representations to support their work.</w:t>
      </w:r>
    </w:p>
    <w:p w:rsidR="00984668" w:rsidRDefault="00984668" w:rsidP="006D4D14">
      <w:pPr>
        <w:pStyle w:val="SOFinalBullet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5401"/>
      </w:tblGrid>
      <w:tr w:rsidR="005C421B" w:rsidRPr="005C421B" w:rsidTr="00345E3A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5C421B" w:rsidRPr="005C421B" w:rsidRDefault="005C421B" w:rsidP="005C421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Relevant examples of a</w:t>
            </w:r>
            <w:r w:rsidR="00932D48">
              <w:rPr>
                <w:rFonts w:eastAsia="Times New Roman" w:cs="Arial"/>
                <w:b/>
                <w:sz w:val="22"/>
                <w:szCs w:val="22"/>
                <w:lang w:eastAsia="en-US"/>
              </w:rPr>
              <w:t>spects of the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capability selected from or added to the list above </w:t>
            </w:r>
            <w:r w:rsidRPr="005C421B">
              <w:rPr>
                <w:rFonts w:eastAsia="Times New Roman" w:cs="Arial"/>
                <w:sz w:val="22"/>
                <w:szCs w:val="22"/>
                <w:lang w:eastAsia="en-US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5C421B" w:rsidRPr="005C421B" w:rsidRDefault="005C421B" w:rsidP="00345E3A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How might this capability be relevant to my </w:t>
            </w:r>
            <w:r w:rsidR="0023030C">
              <w:rPr>
                <w:rFonts w:eastAsia="Times New Roman" w:cs="Arial"/>
                <w:b/>
                <w:sz w:val="22"/>
                <w:szCs w:val="22"/>
                <w:lang w:eastAsia="en-US"/>
              </w:rPr>
              <w:t>PLP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?</w:t>
            </w:r>
          </w:p>
          <w:p w:rsidR="005C421B" w:rsidRPr="005C421B" w:rsidRDefault="005C421B" w:rsidP="00345E3A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5C421B" w:rsidRPr="005C421B" w:rsidTr="00DA1222">
        <w:trPr>
          <w:trHeight w:val="2034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12"/>
                <w:szCs w:val="12"/>
                <w:lang w:eastAsia="en-US"/>
              </w:rPr>
            </w:pPr>
          </w:p>
        </w:tc>
      </w:tr>
      <w:tr w:rsidR="005C421B" w:rsidRPr="005C421B" w:rsidTr="00DA1222">
        <w:trPr>
          <w:trHeight w:val="212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</w:tbl>
    <w:p w:rsidR="005C421B" w:rsidRPr="003F6F47" w:rsidRDefault="005C421B" w:rsidP="006D4D14">
      <w:pPr>
        <w:pStyle w:val="SOFinalBullets"/>
      </w:pPr>
    </w:p>
    <w:p w:rsidR="0003307E" w:rsidRPr="003F6F47" w:rsidRDefault="0003307E" w:rsidP="0003307E">
      <w:pPr>
        <w:rPr>
          <w:sz w:val="4"/>
          <w:szCs w:val="4"/>
          <w:lang w:val="en-US"/>
        </w:rPr>
      </w:pPr>
    </w:p>
    <w:p w:rsidR="0003307E" w:rsidRDefault="0003307E">
      <w:pPr>
        <w:spacing w:after="200" w:line="276" w:lineRule="auto"/>
        <w:rPr>
          <w:rFonts w:ascii="Arial Narrow" w:eastAsia="Times New Roman" w:hAnsi="Arial Narrow"/>
          <w:b/>
          <w:color w:val="000000"/>
          <w:sz w:val="24"/>
          <w:lang w:val="en-US" w:eastAsia="en-US"/>
        </w:rPr>
      </w:pPr>
      <w:r>
        <w:br w:type="page"/>
      </w:r>
    </w:p>
    <w:p w:rsidR="0003307E" w:rsidRPr="00984668" w:rsidRDefault="0003307E" w:rsidP="0003307E">
      <w:pPr>
        <w:pStyle w:val="SOFinalHead4"/>
        <w:rPr>
          <w:sz w:val="32"/>
        </w:rPr>
      </w:pPr>
      <w:r w:rsidRPr="00984668">
        <w:rPr>
          <w:sz w:val="32"/>
        </w:rPr>
        <w:lastRenderedPageBreak/>
        <w:t>Information and Communication Technology Capability</w:t>
      </w:r>
    </w:p>
    <w:p w:rsidR="0003307E" w:rsidRDefault="0003307E" w:rsidP="0003307E">
      <w:pPr>
        <w:pStyle w:val="SOFinalBodyText"/>
      </w:pPr>
      <w:r>
        <w:t xml:space="preserve">In the Personal </w:t>
      </w:r>
      <w:r w:rsidRPr="005A5AE3">
        <w:rPr>
          <w:rStyle w:val="SOFinalBodyTextCharChar"/>
        </w:rPr>
        <w:t>Learning</w:t>
      </w:r>
      <w:r>
        <w:t xml:space="preserve"> Plan, students can develop their capability for information and communication technology by, for example:</w:t>
      </w:r>
    </w:p>
    <w:p w:rsidR="00747B66" w:rsidRDefault="00747B66" w:rsidP="0003307E">
      <w:pPr>
        <w:pStyle w:val="SOFinalBodyText"/>
      </w:pPr>
    </w:p>
    <w:p w:rsidR="0003307E" w:rsidRDefault="0003307E" w:rsidP="006D4D14">
      <w:pPr>
        <w:pStyle w:val="SOFinalBullets"/>
        <w:numPr>
          <w:ilvl w:val="0"/>
          <w:numId w:val="10"/>
        </w:numPr>
      </w:pPr>
      <w:r>
        <w:t>learning about and understanding this capability</w:t>
      </w:r>
    </w:p>
    <w:p w:rsidR="0003307E" w:rsidRDefault="0003307E" w:rsidP="006D4D14">
      <w:pPr>
        <w:pStyle w:val="SOFinalBullets"/>
        <w:numPr>
          <w:ilvl w:val="0"/>
          <w:numId w:val="10"/>
        </w:numPr>
      </w:pPr>
      <w:r>
        <w:t>exploring how this capability is relevant to their personal and learning goals</w:t>
      </w:r>
    </w:p>
    <w:p w:rsidR="0003307E" w:rsidRDefault="0003307E" w:rsidP="006D4D14">
      <w:pPr>
        <w:pStyle w:val="SOFinalBullets"/>
        <w:numPr>
          <w:ilvl w:val="0"/>
          <w:numId w:val="10"/>
        </w:numPr>
      </w:pPr>
      <w:r>
        <w:t>identifying and developing information and communication technology capabilities appropriate to personal and learning goals, further study pathways, work, and, specific workplaces</w:t>
      </w:r>
    </w:p>
    <w:p w:rsidR="0003307E" w:rsidRDefault="0003307E" w:rsidP="006D4D14">
      <w:pPr>
        <w:pStyle w:val="SOFinalBullets"/>
        <w:numPr>
          <w:ilvl w:val="0"/>
          <w:numId w:val="10"/>
        </w:numPr>
      </w:pPr>
      <w:r>
        <w:t>using information about the impact of current and emerging technologies on workforce projections and demographics when planning career choices</w:t>
      </w:r>
    </w:p>
    <w:p w:rsidR="0003307E" w:rsidRDefault="0003307E" w:rsidP="006D4D14">
      <w:pPr>
        <w:pStyle w:val="SOFinalBullets"/>
        <w:numPr>
          <w:ilvl w:val="0"/>
          <w:numId w:val="10"/>
        </w:numPr>
      </w:pPr>
      <w:r>
        <w:t>explaining, discussing, and reviewing their personal and learning goals, and decisions about the future, using appropriate technologies.</w:t>
      </w:r>
    </w:p>
    <w:p w:rsidR="00984668" w:rsidRDefault="00984668" w:rsidP="006D4D14">
      <w:pPr>
        <w:pStyle w:val="SOFinalBullet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5401"/>
      </w:tblGrid>
      <w:tr w:rsidR="005C421B" w:rsidRPr="005C421B" w:rsidTr="00345E3A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5C421B" w:rsidRPr="005C421B" w:rsidRDefault="005C421B" w:rsidP="005C421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Relevant exa</w:t>
            </w:r>
            <w:r w:rsidR="00932D48">
              <w:rPr>
                <w:rFonts w:eastAsia="Times New Roman" w:cs="Arial"/>
                <w:b/>
                <w:sz w:val="22"/>
                <w:szCs w:val="22"/>
                <w:lang w:eastAsia="en-US"/>
              </w:rPr>
              <w:t>mples of aspects of the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capability selected from or added to the list above </w:t>
            </w:r>
            <w:r w:rsidRPr="005C421B">
              <w:rPr>
                <w:rFonts w:eastAsia="Times New Roman" w:cs="Arial"/>
                <w:sz w:val="22"/>
                <w:szCs w:val="22"/>
                <w:lang w:eastAsia="en-US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5C421B" w:rsidRPr="005C421B" w:rsidRDefault="005C421B" w:rsidP="00345E3A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How might this capability be relevant to my </w:t>
            </w:r>
            <w:r w:rsidR="0023030C">
              <w:rPr>
                <w:rFonts w:eastAsia="Times New Roman" w:cs="Arial"/>
                <w:b/>
                <w:sz w:val="22"/>
                <w:szCs w:val="22"/>
                <w:lang w:eastAsia="en-US"/>
              </w:rPr>
              <w:t>PLP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?</w:t>
            </w:r>
          </w:p>
          <w:p w:rsidR="005C421B" w:rsidRPr="005C421B" w:rsidRDefault="005C421B" w:rsidP="00345E3A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5C421B" w:rsidRPr="005C421B" w:rsidTr="00DA1222">
        <w:trPr>
          <w:trHeight w:val="2034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12"/>
                <w:szCs w:val="12"/>
                <w:lang w:eastAsia="en-US"/>
              </w:rPr>
            </w:pPr>
          </w:p>
        </w:tc>
      </w:tr>
      <w:tr w:rsidR="005C421B" w:rsidRPr="005C421B" w:rsidTr="00DA1222">
        <w:trPr>
          <w:trHeight w:val="212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</w:tbl>
    <w:p w:rsidR="005C421B" w:rsidRDefault="005C421B" w:rsidP="006D4D14">
      <w:pPr>
        <w:pStyle w:val="SOFinalBullets"/>
      </w:pPr>
    </w:p>
    <w:p w:rsidR="0003307E" w:rsidRDefault="0003307E">
      <w:pPr>
        <w:spacing w:after="200" w:line="276" w:lineRule="auto"/>
        <w:rPr>
          <w:rFonts w:ascii="Arial Narrow" w:eastAsia="Times New Roman" w:hAnsi="Arial Narrow"/>
          <w:b/>
          <w:color w:val="000000"/>
          <w:sz w:val="24"/>
          <w:lang w:val="en-US" w:eastAsia="en-US"/>
        </w:rPr>
      </w:pPr>
      <w:r>
        <w:br w:type="page"/>
      </w:r>
    </w:p>
    <w:p w:rsidR="0003307E" w:rsidRPr="0071752C" w:rsidRDefault="0003307E" w:rsidP="0003307E">
      <w:pPr>
        <w:pStyle w:val="SOFinalHead4"/>
        <w:rPr>
          <w:sz w:val="32"/>
        </w:rPr>
      </w:pPr>
      <w:r w:rsidRPr="0071752C">
        <w:rPr>
          <w:sz w:val="32"/>
        </w:rPr>
        <w:lastRenderedPageBreak/>
        <w:t>Critical and Creative Thinking</w:t>
      </w:r>
    </w:p>
    <w:p w:rsidR="00747B66" w:rsidRDefault="0003307E" w:rsidP="00747B66">
      <w:pPr>
        <w:pStyle w:val="SOFinalBodyText"/>
        <w:rPr>
          <w:rFonts w:eastAsia="MS Mincho" w:cs="Arial"/>
        </w:rPr>
      </w:pPr>
      <w:r>
        <w:t>In the Personal Learning Plan, students can develop their capability for critical and creative thinking by, for example:</w:t>
      </w:r>
    </w:p>
    <w:p w:rsidR="00747B66" w:rsidRDefault="00747B66" w:rsidP="00747B66">
      <w:pPr>
        <w:pStyle w:val="SOFinalBodyText"/>
      </w:pPr>
    </w:p>
    <w:p w:rsidR="0003307E" w:rsidRDefault="0003307E" w:rsidP="006D4D14">
      <w:pPr>
        <w:pStyle w:val="SOFinalBullets"/>
        <w:numPr>
          <w:ilvl w:val="0"/>
          <w:numId w:val="12"/>
        </w:numPr>
      </w:pPr>
      <w:r>
        <w:t>learning about and understanding this capability</w:t>
      </w:r>
    </w:p>
    <w:p w:rsidR="0003307E" w:rsidRDefault="0003307E" w:rsidP="006D4D14">
      <w:pPr>
        <w:pStyle w:val="SOFinalBullets"/>
        <w:numPr>
          <w:ilvl w:val="0"/>
          <w:numId w:val="12"/>
        </w:numPr>
      </w:pPr>
      <w:r>
        <w:t>exploring how this capability is relevant to their personal and learning goals</w:t>
      </w:r>
    </w:p>
    <w:p w:rsidR="0003307E" w:rsidRDefault="0003307E" w:rsidP="006D4D14">
      <w:pPr>
        <w:pStyle w:val="SOFinalBullets"/>
        <w:numPr>
          <w:ilvl w:val="0"/>
          <w:numId w:val="12"/>
        </w:numPr>
      </w:pPr>
      <w:r>
        <w:t>identifying and understanding how personal skills, abilities, and achievements relate to personal and learning goals</w:t>
      </w:r>
    </w:p>
    <w:p w:rsidR="0003307E" w:rsidRDefault="0003307E" w:rsidP="006D4D14">
      <w:pPr>
        <w:pStyle w:val="SOFinalBullets"/>
        <w:numPr>
          <w:ilvl w:val="0"/>
          <w:numId w:val="12"/>
        </w:numPr>
      </w:pPr>
      <w:r>
        <w:t xml:space="preserve">developing personal attributes and aptitudes, in areas such as confidence, self-discipline, goal-setting, independence, resilience, initiative, and adaptability </w:t>
      </w:r>
    </w:p>
    <w:p w:rsidR="0003307E" w:rsidRDefault="0003307E" w:rsidP="006D4D14">
      <w:pPr>
        <w:pStyle w:val="SOFinalBullets"/>
        <w:numPr>
          <w:ilvl w:val="0"/>
          <w:numId w:val="12"/>
        </w:numPr>
      </w:pPr>
      <w:proofErr w:type="spellStart"/>
      <w:r>
        <w:t>recognising</w:t>
      </w:r>
      <w:proofErr w:type="spellEnd"/>
      <w:r>
        <w:t xml:space="preserve"> how community involvement develops an appreciation of diverse perspectives, makes a contribution to civil society, and creates an understanding of relationships</w:t>
      </w:r>
    </w:p>
    <w:p w:rsidR="0003307E" w:rsidRDefault="0003307E" w:rsidP="006D4D14">
      <w:pPr>
        <w:pStyle w:val="SOFinalBullets"/>
        <w:numPr>
          <w:ilvl w:val="0"/>
          <w:numId w:val="12"/>
        </w:numPr>
      </w:pPr>
      <w:r>
        <w:t>building interpersonal and intrapersonal skills in areas such as effective communication, working collaboratively, decision-making, conflict resolution, and leadership</w:t>
      </w:r>
    </w:p>
    <w:p w:rsidR="0003307E" w:rsidRDefault="0003307E" w:rsidP="006D4D14">
      <w:pPr>
        <w:pStyle w:val="SOFinalBullets"/>
        <w:numPr>
          <w:ilvl w:val="0"/>
          <w:numId w:val="12"/>
        </w:numPr>
      </w:pPr>
      <w:r>
        <w:t>working effectively in teams and handling challenging situations constructively</w:t>
      </w:r>
    </w:p>
    <w:p w:rsidR="0003307E" w:rsidRDefault="0003307E" w:rsidP="006D4D14">
      <w:pPr>
        <w:pStyle w:val="SOFinalBullets"/>
        <w:numPr>
          <w:ilvl w:val="0"/>
          <w:numId w:val="12"/>
        </w:numPr>
      </w:pPr>
      <w:r>
        <w:t>building links with others — locally, nationally, and/or globally.</w:t>
      </w:r>
    </w:p>
    <w:p w:rsidR="006D4D14" w:rsidRDefault="006D4D14" w:rsidP="006D4D14">
      <w:pPr>
        <w:pStyle w:val="SOFinalBullet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5401"/>
      </w:tblGrid>
      <w:tr w:rsidR="005C421B" w:rsidRPr="005C421B" w:rsidTr="00345E3A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5C421B" w:rsidRPr="005C421B" w:rsidRDefault="005C421B" w:rsidP="005C421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Relevant examples of aspects of th</w:t>
            </w:r>
            <w:r w:rsidR="00932D48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e 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capability selected from or added to the list above </w:t>
            </w:r>
            <w:r w:rsidRPr="005C421B">
              <w:rPr>
                <w:rFonts w:eastAsia="Times New Roman" w:cs="Arial"/>
                <w:sz w:val="22"/>
                <w:szCs w:val="22"/>
                <w:lang w:eastAsia="en-US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5C421B" w:rsidRPr="005C421B" w:rsidRDefault="005C421B" w:rsidP="00345E3A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How might this capability be relevant to my </w:t>
            </w:r>
            <w:r w:rsidR="0023030C">
              <w:rPr>
                <w:rFonts w:eastAsia="Times New Roman" w:cs="Arial"/>
                <w:b/>
                <w:sz w:val="22"/>
                <w:szCs w:val="22"/>
                <w:lang w:eastAsia="en-US"/>
              </w:rPr>
              <w:t>PLP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?</w:t>
            </w:r>
          </w:p>
          <w:p w:rsidR="005C421B" w:rsidRPr="005C421B" w:rsidRDefault="005C421B" w:rsidP="00345E3A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5C421B" w:rsidRPr="005C421B" w:rsidTr="00DA1222">
        <w:trPr>
          <w:trHeight w:val="2034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12"/>
                <w:szCs w:val="12"/>
                <w:lang w:eastAsia="en-US"/>
              </w:rPr>
            </w:pPr>
          </w:p>
        </w:tc>
      </w:tr>
      <w:tr w:rsidR="005C421B" w:rsidRPr="005C421B" w:rsidTr="00DA1222">
        <w:trPr>
          <w:trHeight w:val="212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</w:tbl>
    <w:p w:rsidR="005C421B" w:rsidRDefault="005C421B" w:rsidP="006D4D14">
      <w:pPr>
        <w:pStyle w:val="SOFinalBullets"/>
      </w:pPr>
    </w:p>
    <w:p w:rsidR="0003307E" w:rsidRPr="0071752C" w:rsidRDefault="0003307E" w:rsidP="0071752C">
      <w:pPr>
        <w:pStyle w:val="SOFinalHead4"/>
        <w:rPr>
          <w:sz w:val="32"/>
        </w:rPr>
      </w:pPr>
      <w:r w:rsidRPr="0071752C">
        <w:rPr>
          <w:sz w:val="32"/>
        </w:rPr>
        <w:lastRenderedPageBreak/>
        <w:t>Ethical Understanding</w:t>
      </w:r>
    </w:p>
    <w:p w:rsidR="0003307E" w:rsidRDefault="0003307E" w:rsidP="0003307E">
      <w:pPr>
        <w:pStyle w:val="SOFinalBodyText"/>
      </w:pPr>
      <w:r>
        <w:t>In the Personal Learning Plan, students can develop their capability for ethical understanding by, for example</w:t>
      </w:r>
    </w:p>
    <w:p w:rsidR="00747B66" w:rsidRDefault="00747B66" w:rsidP="0003307E">
      <w:pPr>
        <w:pStyle w:val="SOFinalBodyText"/>
      </w:pPr>
    </w:p>
    <w:p w:rsidR="0003307E" w:rsidRDefault="0003307E" w:rsidP="006D4D14">
      <w:pPr>
        <w:pStyle w:val="SOFinalBullets"/>
        <w:numPr>
          <w:ilvl w:val="0"/>
          <w:numId w:val="13"/>
        </w:numPr>
      </w:pPr>
      <w:r>
        <w:t>learning about and understanding this capability</w:t>
      </w:r>
    </w:p>
    <w:p w:rsidR="0003307E" w:rsidRDefault="0003307E" w:rsidP="006D4D14">
      <w:pPr>
        <w:pStyle w:val="SOFinalBullets"/>
        <w:numPr>
          <w:ilvl w:val="0"/>
          <w:numId w:val="13"/>
        </w:numPr>
      </w:pPr>
      <w:r>
        <w:t>exploring how this capability is relevant to their personal and learning goals</w:t>
      </w:r>
    </w:p>
    <w:p w:rsidR="0003307E" w:rsidRDefault="0003307E" w:rsidP="006D4D14">
      <w:pPr>
        <w:pStyle w:val="SOFinalBullets"/>
        <w:numPr>
          <w:ilvl w:val="0"/>
          <w:numId w:val="13"/>
        </w:numPr>
      </w:pPr>
      <w:r>
        <w:t>understanding how ethical issues and dilemmas arise in personal and public situations</w:t>
      </w:r>
    </w:p>
    <w:p w:rsidR="0003307E" w:rsidRDefault="0003307E" w:rsidP="006D4D14">
      <w:pPr>
        <w:pStyle w:val="SOFinalBullets"/>
        <w:numPr>
          <w:ilvl w:val="0"/>
          <w:numId w:val="13"/>
        </w:numPr>
      </w:pPr>
      <w:r>
        <w:t>reflecting on actions and their consequences, in areas such as learning and workplace decision-making</w:t>
      </w:r>
    </w:p>
    <w:p w:rsidR="0003307E" w:rsidRDefault="0003307E" w:rsidP="006D4D14">
      <w:pPr>
        <w:pStyle w:val="SOFinalBullets"/>
        <w:numPr>
          <w:ilvl w:val="0"/>
          <w:numId w:val="13"/>
        </w:numPr>
      </w:pPr>
      <w:r>
        <w:t>exploring personal values and various points of view to understand individual and group rights and responsibilities</w:t>
      </w:r>
    </w:p>
    <w:p w:rsidR="0003307E" w:rsidRDefault="0003307E" w:rsidP="006D4D14">
      <w:pPr>
        <w:pStyle w:val="SOFinalBullets"/>
        <w:numPr>
          <w:ilvl w:val="0"/>
          <w:numId w:val="13"/>
        </w:numPr>
      </w:pPr>
      <w:r>
        <w:t>considering workplace safety and ethical principles, practices, and procedures</w:t>
      </w:r>
    </w:p>
    <w:p w:rsidR="0003307E" w:rsidRDefault="0003307E" w:rsidP="006D4D14">
      <w:pPr>
        <w:pStyle w:val="SOFinalBullets"/>
        <w:numPr>
          <w:ilvl w:val="0"/>
          <w:numId w:val="13"/>
        </w:numPr>
      </w:pPr>
      <w:r>
        <w:t>developing ethical sustainable practices in the workplace and the community.</w:t>
      </w:r>
    </w:p>
    <w:p w:rsidR="006D4D14" w:rsidRDefault="006D4D14" w:rsidP="006D4D14">
      <w:pPr>
        <w:pStyle w:val="SOFinalBullet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5401"/>
      </w:tblGrid>
      <w:tr w:rsidR="005C421B" w:rsidRPr="005C421B" w:rsidTr="00345E3A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5C421B" w:rsidRPr="005C421B" w:rsidRDefault="005C421B" w:rsidP="005C421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Relevant exa</w:t>
            </w:r>
            <w:r w:rsidR="00932D48">
              <w:rPr>
                <w:rFonts w:eastAsia="Times New Roman" w:cs="Arial"/>
                <w:b/>
                <w:sz w:val="22"/>
                <w:szCs w:val="22"/>
                <w:lang w:eastAsia="en-US"/>
              </w:rPr>
              <w:t>mples of aspects of the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capability selected from or added to the list above </w:t>
            </w:r>
            <w:r w:rsidRPr="005C421B">
              <w:rPr>
                <w:rFonts w:eastAsia="Times New Roman" w:cs="Arial"/>
                <w:sz w:val="22"/>
                <w:szCs w:val="22"/>
                <w:lang w:eastAsia="en-US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5C421B" w:rsidRPr="005C421B" w:rsidRDefault="005C421B" w:rsidP="00345E3A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How might this capability be relevant to my </w:t>
            </w:r>
            <w:r w:rsidR="0023030C">
              <w:rPr>
                <w:rFonts w:eastAsia="Times New Roman" w:cs="Arial"/>
                <w:b/>
                <w:sz w:val="22"/>
                <w:szCs w:val="22"/>
                <w:lang w:eastAsia="en-US"/>
              </w:rPr>
              <w:t>PLP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?</w:t>
            </w:r>
          </w:p>
          <w:p w:rsidR="005C421B" w:rsidRPr="005C421B" w:rsidRDefault="005C421B" w:rsidP="00345E3A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5C421B" w:rsidRPr="005C421B" w:rsidTr="00DA1222">
        <w:trPr>
          <w:trHeight w:val="2034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12"/>
                <w:szCs w:val="12"/>
                <w:lang w:eastAsia="en-US"/>
              </w:rPr>
            </w:pPr>
          </w:p>
        </w:tc>
      </w:tr>
      <w:tr w:rsidR="005C421B" w:rsidRPr="005C421B" w:rsidTr="00DA1222">
        <w:trPr>
          <w:trHeight w:val="212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</w:tbl>
    <w:p w:rsidR="005C421B" w:rsidRDefault="005C421B" w:rsidP="006D4D14">
      <w:pPr>
        <w:pStyle w:val="SOFinalBullets"/>
      </w:pPr>
    </w:p>
    <w:p w:rsidR="0003307E" w:rsidRDefault="0003307E">
      <w:pPr>
        <w:spacing w:after="200" w:line="276" w:lineRule="auto"/>
        <w:rPr>
          <w:rFonts w:ascii="Arial Narrow" w:eastAsia="Times New Roman" w:hAnsi="Arial Narrow"/>
          <w:b/>
          <w:color w:val="000000"/>
          <w:sz w:val="24"/>
          <w:lang w:val="en-US" w:eastAsia="en-US"/>
        </w:rPr>
      </w:pPr>
      <w:r>
        <w:br w:type="page"/>
      </w:r>
    </w:p>
    <w:p w:rsidR="0003307E" w:rsidRPr="0071752C" w:rsidRDefault="0003307E" w:rsidP="0003307E">
      <w:pPr>
        <w:pStyle w:val="SOFinalHead4"/>
        <w:rPr>
          <w:sz w:val="32"/>
        </w:rPr>
      </w:pPr>
      <w:r w:rsidRPr="0071752C">
        <w:rPr>
          <w:sz w:val="32"/>
        </w:rPr>
        <w:lastRenderedPageBreak/>
        <w:t>Intercultural Understanding</w:t>
      </w:r>
    </w:p>
    <w:p w:rsidR="0003307E" w:rsidRDefault="0003307E" w:rsidP="0003307E">
      <w:pPr>
        <w:pStyle w:val="SOFinalBodyText"/>
      </w:pPr>
      <w:r>
        <w:t>In the Personal Learning Plan, students can develop their capability for intercultural understanding by, for example:</w:t>
      </w:r>
    </w:p>
    <w:p w:rsidR="00747B66" w:rsidRDefault="00747B66" w:rsidP="0003307E">
      <w:pPr>
        <w:pStyle w:val="SOFinalBodyText"/>
      </w:pPr>
    </w:p>
    <w:p w:rsidR="0003307E" w:rsidRDefault="0003307E" w:rsidP="006D4D14">
      <w:pPr>
        <w:pStyle w:val="SOFinalBullets"/>
        <w:numPr>
          <w:ilvl w:val="0"/>
          <w:numId w:val="14"/>
        </w:numPr>
      </w:pPr>
      <w:r>
        <w:t>learning about and understanding this capability</w:t>
      </w:r>
    </w:p>
    <w:p w:rsidR="0003307E" w:rsidRDefault="0003307E" w:rsidP="006D4D14">
      <w:pPr>
        <w:pStyle w:val="SOFinalBullets"/>
        <w:numPr>
          <w:ilvl w:val="0"/>
          <w:numId w:val="14"/>
        </w:numPr>
      </w:pPr>
      <w:r>
        <w:t>exploring how this capability is relevant to their personal and learning goals</w:t>
      </w:r>
    </w:p>
    <w:p w:rsidR="0003307E" w:rsidRDefault="0003307E" w:rsidP="006D4D14">
      <w:pPr>
        <w:pStyle w:val="SOFinalBullets"/>
        <w:numPr>
          <w:ilvl w:val="0"/>
          <w:numId w:val="14"/>
        </w:numPr>
      </w:pPr>
      <w:r>
        <w:t>learning about and developing respect for people’s social and cultural backgrounds, to enable people to live and work together</w:t>
      </w:r>
    </w:p>
    <w:p w:rsidR="0003307E" w:rsidRDefault="0003307E" w:rsidP="006D4D14">
      <w:pPr>
        <w:pStyle w:val="SOFinalBullets"/>
        <w:numPr>
          <w:ilvl w:val="0"/>
          <w:numId w:val="14"/>
        </w:numPr>
      </w:pPr>
      <w:r>
        <w:t>developing empathy and understanding by interacting and creating connections with others in a variety of situations</w:t>
      </w:r>
    </w:p>
    <w:p w:rsidR="0003307E" w:rsidRDefault="0003307E" w:rsidP="006D4D14">
      <w:pPr>
        <w:pStyle w:val="SOFinalBullets"/>
        <w:numPr>
          <w:ilvl w:val="0"/>
          <w:numId w:val="14"/>
        </w:numPr>
      </w:pPr>
      <w:r>
        <w:t>exploring the concept of global citizenship, including the impact on their roles and responsibilities in future learning and work environments</w:t>
      </w:r>
    </w:p>
    <w:p w:rsidR="0003307E" w:rsidRDefault="0003307E" w:rsidP="006D4D14">
      <w:pPr>
        <w:pStyle w:val="SOFinalBullets"/>
        <w:numPr>
          <w:ilvl w:val="0"/>
          <w:numId w:val="14"/>
        </w:numPr>
      </w:pPr>
      <w:r>
        <w:t>developing skills to relate to, and move between, cultures</w:t>
      </w:r>
    </w:p>
    <w:p w:rsidR="0003307E" w:rsidRDefault="0003307E" w:rsidP="006D4D14">
      <w:pPr>
        <w:pStyle w:val="SOFinalBullets"/>
        <w:numPr>
          <w:ilvl w:val="0"/>
          <w:numId w:val="14"/>
        </w:numPr>
      </w:pPr>
      <w:r>
        <w:t>acknowledging the social, cultural, linguistic, and religious diversity of a nation, including Aboriginal and Torres Strait Islander societies in Australia.</w:t>
      </w:r>
    </w:p>
    <w:p w:rsidR="005C421B" w:rsidRPr="003F6F47" w:rsidRDefault="005C421B" w:rsidP="006D4D14">
      <w:pPr>
        <w:pStyle w:val="SOFinalBullet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5401"/>
      </w:tblGrid>
      <w:tr w:rsidR="005C421B" w:rsidRPr="005C421B" w:rsidTr="00345E3A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5C421B" w:rsidRPr="005C421B" w:rsidRDefault="005C421B" w:rsidP="005C421B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Relevant exa</w:t>
            </w:r>
            <w:r w:rsidR="00932D48">
              <w:rPr>
                <w:rFonts w:eastAsia="Times New Roman" w:cs="Arial"/>
                <w:b/>
                <w:sz w:val="22"/>
                <w:szCs w:val="22"/>
                <w:lang w:eastAsia="en-US"/>
              </w:rPr>
              <w:t>mples of aspects of the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capability selected from or added to the list above </w:t>
            </w:r>
            <w:r w:rsidRPr="005C421B">
              <w:rPr>
                <w:rFonts w:eastAsia="Times New Roman" w:cs="Arial"/>
                <w:sz w:val="22"/>
                <w:szCs w:val="22"/>
                <w:lang w:eastAsia="en-US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5C421B" w:rsidRPr="005C421B" w:rsidRDefault="005C421B" w:rsidP="00345E3A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How might this capability be relevant to my </w:t>
            </w:r>
            <w:r w:rsidR="0023030C">
              <w:rPr>
                <w:rFonts w:eastAsia="Times New Roman" w:cs="Arial"/>
                <w:b/>
                <w:sz w:val="22"/>
                <w:szCs w:val="22"/>
                <w:lang w:eastAsia="en-US"/>
              </w:rPr>
              <w:t>PLP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5C421B" w:rsidRPr="005C421B" w:rsidTr="00DA1222">
        <w:trPr>
          <w:trHeight w:val="2034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12"/>
                <w:szCs w:val="12"/>
                <w:lang w:eastAsia="en-US"/>
              </w:rPr>
            </w:pPr>
          </w:p>
        </w:tc>
      </w:tr>
      <w:tr w:rsidR="005C421B" w:rsidRPr="005C421B" w:rsidTr="00DA1222">
        <w:trPr>
          <w:trHeight w:val="212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5C421B" w:rsidRPr="005C421B" w:rsidTr="00DA1222">
        <w:trPr>
          <w:trHeight w:val="1980"/>
        </w:trPr>
        <w:tc>
          <w:tcPr>
            <w:tcW w:w="4077" w:type="dxa"/>
          </w:tcPr>
          <w:p w:rsidR="005C421B" w:rsidRPr="005C421B" w:rsidRDefault="005C421B" w:rsidP="005C421B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5C421B" w:rsidRPr="005C421B" w:rsidRDefault="005C421B" w:rsidP="005C421B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</w:tbl>
    <w:p w:rsidR="00412724" w:rsidRDefault="00412724"/>
    <w:p w:rsidR="00412724" w:rsidRDefault="00412724">
      <w:pPr>
        <w:spacing w:after="200" w:line="276" w:lineRule="auto"/>
      </w:pPr>
      <w:r>
        <w:br w:type="page"/>
      </w:r>
    </w:p>
    <w:p w:rsidR="00412724" w:rsidRDefault="00412724" w:rsidP="00412724">
      <w:pPr>
        <w:pStyle w:val="SOFinalHead4"/>
      </w:pPr>
      <w:r>
        <w:lastRenderedPageBreak/>
        <w:t>Personal and Social Capability</w:t>
      </w:r>
    </w:p>
    <w:p w:rsidR="00412724" w:rsidRDefault="00412724" w:rsidP="00412724">
      <w:pPr>
        <w:pStyle w:val="SOFinalBodyText"/>
      </w:pPr>
      <w:r>
        <w:t>In the Personal Learning Plan, students can develop their capability for self and society by, for example:</w:t>
      </w:r>
    </w:p>
    <w:p w:rsidR="00412724" w:rsidRDefault="00412724" w:rsidP="00412724">
      <w:pPr>
        <w:pStyle w:val="SOFinalBullets"/>
        <w:numPr>
          <w:ilvl w:val="0"/>
          <w:numId w:val="15"/>
        </w:numPr>
      </w:pPr>
      <w:r>
        <w:t>learning about and understanding this capability</w:t>
      </w:r>
    </w:p>
    <w:p w:rsidR="00412724" w:rsidRDefault="00412724" w:rsidP="00412724">
      <w:pPr>
        <w:pStyle w:val="SOFinalBullets"/>
        <w:numPr>
          <w:ilvl w:val="0"/>
          <w:numId w:val="15"/>
        </w:numPr>
      </w:pPr>
      <w:r>
        <w:t>exploring how this capability is relevant to their personal and learning goals</w:t>
      </w:r>
    </w:p>
    <w:p w:rsidR="00412724" w:rsidRDefault="00412724" w:rsidP="00412724">
      <w:pPr>
        <w:pStyle w:val="SOFinalBullets"/>
        <w:numPr>
          <w:ilvl w:val="0"/>
          <w:numId w:val="15"/>
        </w:numPr>
      </w:pPr>
      <w:r>
        <w:t>identifying and understanding how personal skills, abilities, and achievements relate to personal and learning goals</w:t>
      </w:r>
    </w:p>
    <w:p w:rsidR="00412724" w:rsidRDefault="00412724" w:rsidP="00412724">
      <w:pPr>
        <w:pStyle w:val="SOFinalBullets"/>
        <w:numPr>
          <w:ilvl w:val="0"/>
          <w:numId w:val="15"/>
        </w:numPr>
      </w:pPr>
      <w:r>
        <w:t xml:space="preserve">developing personal attributes and aptitudes, in areas such as confidence, self-discipline, goal-setting, independence, resilience, initiative, and adaptability </w:t>
      </w:r>
    </w:p>
    <w:p w:rsidR="00412724" w:rsidRDefault="00412724" w:rsidP="00412724">
      <w:pPr>
        <w:pStyle w:val="SOFinalBullets"/>
        <w:numPr>
          <w:ilvl w:val="0"/>
          <w:numId w:val="15"/>
        </w:numPr>
      </w:pPr>
      <w:proofErr w:type="spellStart"/>
      <w:r>
        <w:t>recognising</w:t>
      </w:r>
      <w:proofErr w:type="spellEnd"/>
      <w:r>
        <w:t xml:space="preserve"> how community involvement develops an appreciation of diverse perspectives, makes a contribution to civil society, and creates an understanding of relationships</w:t>
      </w:r>
    </w:p>
    <w:p w:rsidR="00412724" w:rsidRDefault="00412724" w:rsidP="00412724">
      <w:pPr>
        <w:pStyle w:val="SOFinalBullets"/>
        <w:numPr>
          <w:ilvl w:val="0"/>
          <w:numId w:val="15"/>
        </w:numPr>
      </w:pPr>
      <w:r>
        <w:t>building interpersonal and intrapersonal skills in areas such as effective communication, working collaboratively, decision-making, conflict resolution, and leadership</w:t>
      </w:r>
    </w:p>
    <w:p w:rsidR="00412724" w:rsidRDefault="00412724" w:rsidP="00412724">
      <w:pPr>
        <w:pStyle w:val="SOFinalBullets"/>
        <w:numPr>
          <w:ilvl w:val="0"/>
          <w:numId w:val="15"/>
        </w:numPr>
      </w:pPr>
      <w:r>
        <w:t>working effectively in teams and handling challenging situations constructively</w:t>
      </w:r>
    </w:p>
    <w:p w:rsidR="00412724" w:rsidRDefault="00412724" w:rsidP="00412724">
      <w:pPr>
        <w:pStyle w:val="SOFinalBullets"/>
        <w:numPr>
          <w:ilvl w:val="0"/>
          <w:numId w:val="15"/>
        </w:numPr>
      </w:pPr>
      <w:r>
        <w:t>building links with others — locally, nationally, and/or globally.</w:t>
      </w:r>
    </w:p>
    <w:p w:rsidR="00460128" w:rsidRDefault="004601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5401"/>
      </w:tblGrid>
      <w:tr w:rsidR="00412724" w:rsidRPr="005C421B" w:rsidTr="00520A4E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412724" w:rsidRPr="005C421B" w:rsidRDefault="00412724" w:rsidP="00520A4E">
            <w:pPr>
              <w:jc w:val="center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Relevant exa</w:t>
            </w:r>
            <w:r w:rsidR="00932D48">
              <w:rPr>
                <w:rFonts w:eastAsia="Times New Roman" w:cs="Arial"/>
                <w:b/>
                <w:sz w:val="22"/>
                <w:szCs w:val="22"/>
                <w:lang w:eastAsia="en-US"/>
              </w:rPr>
              <w:t>mples of aspects of the</w:t>
            </w:r>
            <w:bookmarkStart w:id="0" w:name="_GoBack"/>
            <w:bookmarkEnd w:id="0"/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capability selected from or added to the list above </w:t>
            </w:r>
            <w:r w:rsidRPr="005C421B">
              <w:rPr>
                <w:rFonts w:eastAsia="Times New Roman" w:cs="Arial"/>
                <w:sz w:val="22"/>
                <w:szCs w:val="22"/>
                <w:lang w:eastAsia="en-US"/>
              </w:rPr>
              <w:t>(from the Subject Outline)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412724" w:rsidRPr="005C421B" w:rsidRDefault="00412724" w:rsidP="00520A4E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How might this capability be relevant to my 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PLP</w:t>
            </w:r>
            <w:r w:rsidRPr="005C421B">
              <w:rPr>
                <w:rFonts w:eastAsia="Times New Roman" w:cs="Arial"/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412724" w:rsidRPr="005C421B" w:rsidTr="00520A4E">
        <w:trPr>
          <w:trHeight w:val="2034"/>
        </w:trPr>
        <w:tc>
          <w:tcPr>
            <w:tcW w:w="4077" w:type="dxa"/>
          </w:tcPr>
          <w:p w:rsidR="00412724" w:rsidRPr="005C421B" w:rsidRDefault="00412724" w:rsidP="00520A4E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412724" w:rsidRPr="005C421B" w:rsidRDefault="00412724" w:rsidP="00520A4E">
            <w:pPr>
              <w:spacing w:before="120" w:after="140"/>
              <w:rPr>
                <w:rFonts w:eastAsia="Times New Roman" w:cs="Arial"/>
                <w:sz w:val="12"/>
                <w:szCs w:val="12"/>
                <w:lang w:eastAsia="en-US"/>
              </w:rPr>
            </w:pPr>
          </w:p>
        </w:tc>
      </w:tr>
      <w:tr w:rsidR="00412724" w:rsidRPr="005C421B" w:rsidTr="00520A4E">
        <w:trPr>
          <w:trHeight w:val="2120"/>
        </w:trPr>
        <w:tc>
          <w:tcPr>
            <w:tcW w:w="4077" w:type="dxa"/>
          </w:tcPr>
          <w:p w:rsidR="00412724" w:rsidRPr="005C421B" w:rsidRDefault="00412724" w:rsidP="00520A4E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412724" w:rsidRPr="005C421B" w:rsidRDefault="00412724" w:rsidP="00520A4E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412724" w:rsidRPr="005C421B" w:rsidTr="00520A4E">
        <w:trPr>
          <w:trHeight w:val="1980"/>
        </w:trPr>
        <w:tc>
          <w:tcPr>
            <w:tcW w:w="4077" w:type="dxa"/>
          </w:tcPr>
          <w:p w:rsidR="00412724" w:rsidRPr="005C421B" w:rsidRDefault="00412724" w:rsidP="00520A4E">
            <w:pPr>
              <w:spacing w:before="120" w:after="140"/>
              <w:ind w:left="361" w:hanging="361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412724" w:rsidRPr="005C421B" w:rsidRDefault="00412724" w:rsidP="00520A4E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  <w:tr w:rsidR="00412724" w:rsidRPr="005C421B" w:rsidTr="00520A4E">
        <w:trPr>
          <w:trHeight w:val="1980"/>
        </w:trPr>
        <w:tc>
          <w:tcPr>
            <w:tcW w:w="4077" w:type="dxa"/>
          </w:tcPr>
          <w:p w:rsidR="00412724" w:rsidRPr="005C421B" w:rsidRDefault="00412724" w:rsidP="00520A4E">
            <w:pPr>
              <w:spacing w:before="120" w:after="140"/>
              <w:ind w:left="361" w:hanging="361"/>
              <w:rPr>
                <w:rFonts w:eastAsia="Times New Roman"/>
                <w:sz w:val="22"/>
                <w:szCs w:val="20"/>
                <w:lang w:eastAsia="en-US"/>
              </w:rPr>
            </w:pPr>
          </w:p>
        </w:tc>
        <w:tc>
          <w:tcPr>
            <w:tcW w:w="5777" w:type="dxa"/>
          </w:tcPr>
          <w:p w:rsidR="00412724" w:rsidRPr="005C421B" w:rsidRDefault="00412724" w:rsidP="00520A4E">
            <w:pPr>
              <w:spacing w:before="120" w:after="140"/>
              <w:rPr>
                <w:rFonts w:eastAsia="Times New Roman" w:cs="Arial"/>
                <w:sz w:val="22"/>
                <w:lang w:eastAsia="en-US"/>
              </w:rPr>
            </w:pPr>
          </w:p>
        </w:tc>
      </w:tr>
    </w:tbl>
    <w:p w:rsidR="00412724" w:rsidRDefault="00412724"/>
    <w:sectPr w:rsidR="00412724" w:rsidSect="0008648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317"/>
    <w:multiLevelType w:val="hybridMultilevel"/>
    <w:tmpl w:val="8CEE2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491"/>
    <w:multiLevelType w:val="hybridMultilevel"/>
    <w:tmpl w:val="45EAA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B21D2"/>
    <w:multiLevelType w:val="hybridMultilevel"/>
    <w:tmpl w:val="5EC6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19C"/>
    <w:multiLevelType w:val="hybridMultilevel"/>
    <w:tmpl w:val="CF48A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7429"/>
    <w:multiLevelType w:val="hybridMultilevel"/>
    <w:tmpl w:val="13E0F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32E6D"/>
    <w:multiLevelType w:val="hybridMultilevel"/>
    <w:tmpl w:val="6D189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02601"/>
    <w:multiLevelType w:val="hybridMultilevel"/>
    <w:tmpl w:val="56D0D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2575"/>
    <w:multiLevelType w:val="hybridMultilevel"/>
    <w:tmpl w:val="86A63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F4C05"/>
    <w:multiLevelType w:val="hybridMultilevel"/>
    <w:tmpl w:val="61E0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5976"/>
    <w:multiLevelType w:val="hybridMultilevel"/>
    <w:tmpl w:val="958E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F22B4"/>
    <w:multiLevelType w:val="hybridMultilevel"/>
    <w:tmpl w:val="E4925EA6"/>
    <w:lvl w:ilvl="0" w:tplc="B0FC33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color w:val="auto"/>
        <w:sz w:val="16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0295E"/>
    <w:multiLevelType w:val="hybridMultilevel"/>
    <w:tmpl w:val="4540F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36C4F"/>
    <w:multiLevelType w:val="hybridMultilevel"/>
    <w:tmpl w:val="9DA2C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96517"/>
    <w:multiLevelType w:val="hybridMultilevel"/>
    <w:tmpl w:val="6F86EA78"/>
    <w:lvl w:ilvl="0" w:tplc="B832F6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7E"/>
    <w:rsid w:val="0003307E"/>
    <w:rsid w:val="00086480"/>
    <w:rsid w:val="0023030C"/>
    <w:rsid w:val="00345E3A"/>
    <w:rsid w:val="00412724"/>
    <w:rsid w:val="0042568C"/>
    <w:rsid w:val="00460128"/>
    <w:rsid w:val="005C421B"/>
    <w:rsid w:val="0063281C"/>
    <w:rsid w:val="006D4D14"/>
    <w:rsid w:val="007174F9"/>
    <w:rsid w:val="0071752C"/>
    <w:rsid w:val="00747B66"/>
    <w:rsid w:val="00932D48"/>
    <w:rsid w:val="00984668"/>
    <w:rsid w:val="00AC5DFF"/>
    <w:rsid w:val="00CB5450"/>
    <w:rsid w:val="00D253E1"/>
    <w:rsid w:val="00D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24EB"/>
  <w15:docId w15:val="{7EFC6A0B-FE52-4D5C-936F-8A65D82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7E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03307E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3307E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6D4D14"/>
    <w:pPr>
      <w:spacing w:before="60" w:after="0" w:line="240" w:lineRule="auto"/>
      <w:ind w:left="360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6D4D14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03307E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3307E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4">
    <w:name w:val="SO Final Head 4"/>
    <w:link w:val="SOFinalHead4CharChar"/>
    <w:rsid w:val="0003307E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customStyle="1" w:styleId="SOFinalHead4CharChar">
    <w:name w:val="SO Final Head 4 Char Char"/>
    <w:link w:val="SOFinalHead4"/>
    <w:rsid w:val="0003307E"/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5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1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88B5-952E-4E0B-B882-F6B8592C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Brown, Shelly</cp:lastModifiedBy>
  <cp:revision>17</cp:revision>
  <cp:lastPrinted>2015-06-19T07:00:00Z</cp:lastPrinted>
  <dcterms:created xsi:type="dcterms:W3CDTF">2015-06-12T04:03:00Z</dcterms:created>
  <dcterms:modified xsi:type="dcterms:W3CDTF">2016-11-18T03:17:00Z</dcterms:modified>
</cp:coreProperties>
</file>